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84" w:rsidRPr="00F8723A" w:rsidRDefault="00F8723A" w:rsidP="00F8723A">
      <w:pPr>
        <w:jc w:val="center"/>
        <w:rPr>
          <w:b/>
          <w:sz w:val="96"/>
          <w:szCs w:val="96"/>
        </w:rPr>
      </w:pPr>
      <w:proofErr w:type="spellStart"/>
      <w:r w:rsidRPr="00F8723A">
        <w:rPr>
          <w:b/>
          <w:sz w:val="96"/>
          <w:szCs w:val="96"/>
        </w:rPr>
        <w:t>Lanškrounsko</w:t>
      </w:r>
      <w:proofErr w:type="spellEnd"/>
    </w:p>
    <w:p w:rsidR="00F8723A" w:rsidRDefault="00F8723A" w:rsidP="00F8723A">
      <w:pPr>
        <w:jc w:val="center"/>
        <w:rPr>
          <w:sz w:val="36"/>
          <w:szCs w:val="36"/>
        </w:rPr>
      </w:pPr>
      <w:r w:rsidRPr="00F8723A">
        <w:rPr>
          <w:sz w:val="36"/>
          <w:szCs w:val="36"/>
        </w:rPr>
        <w:t>Dobrovolný svazek obcí</w:t>
      </w:r>
    </w:p>
    <w:p w:rsidR="00F8723A" w:rsidRPr="00F8723A" w:rsidRDefault="00F8723A" w:rsidP="00F8723A">
      <w:pPr>
        <w:jc w:val="center"/>
        <w:rPr>
          <w:sz w:val="36"/>
          <w:szCs w:val="36"/>
        </w:rPr>
      </w:pPr>
    </w:p>
    <w:p w:rsidR="00F8723A" w:rsidRDefault="00F8723A" w:rsidP="00F8723A">
      <w:pPr>
        <w:jc w:val="center"/>
      </w:pPr>
    </w:p>
    <w:p w:rsidR="00F8723A" w:rsidRDefault="00F8723A" w:rsidP="00F8723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322862" cy="1600836"/>
            <wp:effectExtent l="19050" t="0" r="0" b="0"/>
            <wp:docPr id="1" name="obrázek 1" descr="region lanskrou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 lanskrounsk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133" cy="16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3A" w:rsidRDefault="00F8723A" w:rsidP="00F8723A">
      <w:pPr>
        <w:jc w:val="center"/>
      </w:pPr>
    </w:p>
    <w:p w:rsidR="00F8723A" w:rsidRDefault="00F8723A" w:rsidP="00F8723A">
      <w:pPr>
        <w:jc w:val="center"/>
      </w:pPr>
    </w:p>
    <w:p w:rsidR="00F8723A" w:rsidRDefault="00F8723A" w:rsidP="00F8723A">
      <w:pPr>
        <w:jc w:val="center"/>
      </w:pPr>
    </w:p>
    <w:p w:rsidR="00F8723A" w:rsidRDefault="00F8723A" w:rsidP="00F8723A">
      <w:pPr>
        <w:jc w:val="center"/>
      </w:pPr>
    </w:p>
    <w:p w:rsidR="00F8723A" w:rsidRDefault="00F8723A" w:rsidP="00F8723A">
      <w:pPr>
        <w:jc w:val="center"/>
      </w:pPr>
    </w:p>
    <w:p w:rsidR="00F8723A" w:rsidRDefault="00F8723A" w:rsidP="00F8723A">
      <w:pPr>
        <w:jc w:val="center"/>
      </w:pPr>
    </w:p>
    <w:p w:rsidR="00F8723A" w:rsidRDefault="00F8723A" w:rsidP="00F8723A">
      <w:pPr>
        <w:jc w:val="center"/>
        <w:rPr>
          <w:b/>
          <w:sz w:val="72"/>
          <w:szCs w:val="72"/>
        </w:rPr>
      </w:pPr>
      <w:r w:rsidRPr="00F8723A">
        <w:rPr>
          <w:b/>
          <w:sz w:val="72"/>
          <w:szCs w:val="72"/>
        </w:rPr>
        <w:t>Závěrečný účet 2012</w:t>
      </w:r>
    </w:p>
    <w:p w:rsidR="00835F30" w:rsidRDefault="00835F30" w:rsidP="00F8723A">
      <w:pPr>
        <w:jc w:val="center"/>
        <w:rPr>
          <w:sz w:val="24"/>
          <w:szCs w:val="24"/>
        </w:rPr>
      </w:pPr>
      <w:r w:rsidRPr="00835F30">
        <w:rPr>
          <w:sz w:val="24"/>
          <w:szCs w:val="24"/>
        </w:rPr>
        <w:t xml:space="preserve">V souladu s </w:t>
      </w:r>
      <w:r w:rsidRPr="00835F30">
        <w:rPr>
          <w:rFonts w:ascii="Albertus Extra Bold" w:hAnsi="Albertus Extra Bold"/>
          <w:sz w:val="24"/>
          <w:szCs w:val="24"/>
        </w:rPr>
        <w:t>§</w:t>
      </w:r>
      <w:r w:rsidRPr="00835F30">
        <w:rPr>
          <w:sz w:val="24"/>
          <w:szCs w:val="24"/>
        </w:rPr>
        <w:t xml:space="preserve"> 17 zákona č.250/200 Sb., o rozpočtových pravidlech územních rozpočtů, ve znění platných předpisů</w:t>
      </w:r>
    </w:p>
    <w:p w:rsidR="00835F30" w:rsidRDefault="00835F30" w:rsidP="00F8723A">
      <w:pPr>
        <w:jc w:val="center"/>
        <w:rPr>
          <w:sz w:val="24"/>
          <w:szCs w:val="24"/>
        </w:rPr>
      </w:pPr>
    </w:p>
    <w:p w:rsidR="00835F30" w:rsidRPr="00835F30" w:rsidRDefault="00835F30" w:rsidP="00F8723A">
      <w:pPr>
        <w:jc w:val="center"/>
        <w:rPr>
          <w:sz w:val="24"/>
          <w:szCs w:val="24"/>
        </w:rPr>
      </w:pPr>
    </w:p>
    <w:p w:rsidR="00F8723A" w:rsidRPr="00F8723A" w:rsidRDefault="00F8723A" w:rsidP="00F8723A">
      <w:pPr>
        <w:jc w:val="center"/>
        <w:rPr>
          <w:sz w:val="36"/>
          <w:szCs w:val="36"/>
        </w:rPr>
      </w:pPr>
      <w:r w:rsidRPr="00F8723A">
        <w:rPr>
          <w:sz w:val="36"/>
          <w:szCs w:val="36"/>
        </w:rPr>
        <w:t>Hospodaření svazku</w:t>
      </w:r>
    </w:p>
    <w:p w:rsidR="00F8723A" w:rsidRDefault="00F8723A" w:rsidP="00F8723A">
      <w:pPr>
        <w:jc w:val="center"/>
      </w:pPr>
    </w:p>
    <w:p w:rsidR="00F8723A" w:rsidRDefault="00F8723A" w:rsidP="00F8723A">
      <w:pPr>
        <w:jc w:val="center"/>
      </w:pPr>
    </w:p>
    <w:p w:rsidR="00065FAA" w:rsidRDefault="00065FAA" w:rsidP="00F8723A">
      <w:pPr>
        <w:rPr>
          <w:sz w:val="28"/>
          <w:szCs w:val="28"/>
        </w:rPr>
      </w:pPr>
    </w:p>
    <w:p w:rsidR="00065FAA" w:rsidRDefault="00065FAA" w:rsidP="00F8723A">
      <w:pPr>
        <w:rPr>
          <w:sz w:val="28"/>
          <w:szCs w:val="28"/>
        </w:rPr>
      </w:pPr>
    </w:p>
    <w:p w:rsidR="00F8723A" w:rsidRDefault="00F8723A" w:rsidP="00F872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Sdružení vzniklo jako samostatný právní subjekt na základě rozhodnutí o registraci ČR – Okresního úřadu Ústí nad Orlicí pod </w:t>
      </w:r>
      <w:proofErr w:type="spellStart"/>
      <w:proofErr w:type="gramStart"/>
      <w:r>
        <w:rPr>
          <w:sz w:val="28"/>
          <w:szCs w:val="28"/>
        </w:rPr>
        <w:t>č.j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VV/00316/2000/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ze dne 23.1.2001</w:t>
      </w:r>
    </w:p>
    <w:p w:rsidR="00F8723A" w:rsidRDefault="00F8723A" w:rsidP="00F8723A">
      <w:pPr>
        <w:rPr>
          <w:sz w:val="28"/>
          <w:szCs w:val="28"/>
        </w:rPr>
      </w:pPr>
      <w:r>
        <w:rPr>
          <w:sz w:val="28"/>
          <w:szCs w:val="28"/>
        </w:rPr>
        <w:t>Identifikační údaje:</w:t>
      </w:r>
    </w:p>
    <w:p w:rsidR="00835F30" w:rsidRPr="00835F30" w:rsidRDefault="008B595D" w:rsidP="00835F30">
      <w:pPr>
        <w:pStyle w:val="Bezmez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</w:t>
      </w:r>
      <w:r w:rsidR="00835F30" w:rsidRPr="00835F30">
        <w:rPr>
          <w:b/>
          <w:color w:val="C00000"/>
          <w:sz w:val="28"/>
          <w:szCs w:val="28"/>
        </w:rPr>
        <w:t>Dobrovolný svazek obcí</w:t>
      </w:r>
    </w:p>
    <w:p w:rsidR="00835F30" w:rsidRPr="00835F30" w:rsidRDefault="008B595D" w:rsidP="00835F30">
      <w:pPr>
        <w:pStyle w:val="Bezmez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</w:t>
      </w:r>
      <w:r w:rsidR="00835F30" w:rsidRPr="00835F30">
        <w:rPr>
          <w:b/>
          <w:color w:val="C00000"/>
          <w:sz w:val="28"/>
          <w:szCs w:val="28"/>
        </w:rPr>
        <w:t>LANŠROUNSKO</w:t>
      </w:r>
    </w:p>
    <w:p w:rsidR="00835F30" w:rsidRPr="00835F30" w:rsidRDefault="008B595D" w:rsidP="00835F30">
      <w:pPr>
        <w:pStyle w:val="Bezmez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</w:t>
      </w:r>
      <w:proofErr w:type="spellStart"/>
      <w:proofErr w:type="gramStart"/>
      <w:r w:rsidR="00835F30" w:rsidRPr="00835F30">
        <w:rPr>
          <w:b/>
          <w:color w:val="C00000"/>
          <w:sz w:val="28"/>
          <w:szCs w:val="28"/>
        </w:rPr>
        <w:t>J.M.</w:t>
      </w:r>
      <w:proofErr w:type="gramEnd"/>
      <w:r w:rsidR="00835F30" w:rsidRPr="00835F30">
        <w:rPr>
          <w:b/>
          <w:color w:val="C00000"/>
          <w:sz w:val="28"/>
          <w:szCs w:val="28"/>
        </w:rPr>
        <w:t>Marků</w:t>
      </w:r>
      <w:proofErr w:type="spellEnd"/>
      <w:r w:rsidR="00835F30" w:rsidRPr="00835F30">
        <w:rPr>
          <w:b/>
          <w:color w:val="C00000"/>
          <w:sz w:val="28"/>
          <w:szCs w:val="28"/>
        </w:rPr>
        <w:t xml:space="preserve"> 12</w:t>
      </w:r>
    </w:p>
    <w:p w:rsidR="00835F30" w:rsidRPr="00835F30" w:rsidRDefault="008B595D" w:rsidP="00835F30">
      <w:pPr>
        <w:pStyle w:val="Bezmez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</w:t>
      </w:r>
      <w:proofErr w:type="gramStart"/>
      <w:r w:rsidR="00835F30" w:rsidRPr="00835F30">
        <w:rPr>
          <w:b/>
          <w:color w:val="C00000"/>
          <w:sz w:val="28"/>
          <w:szCs w:val="28"/>
        </w:rPr>
        <w:t>563 01  Lanškroun</w:t>
      </w:r>
      <w:proofErr w:type="gramEnd"/>
    </w:p>
    <w:p w:rsidR="00835F30" w:rsidRDefault="008B595D" w:rsidP="00835F30">
      <w:pPr>
        <w:pStyle w:val="Bezmez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</w:t>
      </w:r>
      <w:r w:rsidR="00835F30" w:rsidRPr="00835F30">
        <w:rPr>
          <w:b/>
          <w:color w:val="C00000"/>
          <w:sz w:val="28"/>
          <w:szCs w:val="28"/>
        </w:rPr>
        <w:t>IČO: 709 02</w:t>
      </w:r>
      <w:r>
        <w:rPr>
          <w:b/>
          <w:color w:val="C00000"/>
          <w:sz w:val="28"/>
          <w:szCs w:val="28"/>
        </w:rPr>
        <w:t> </w:t>
      </w:r>
      <w:r w:rsidR="00835F30" w:rsidRPr="00835F30">
        <w:rPr>
          <w:b/>
          <w:color w:val="C00000"/>
          <w:sz w:val="28"/>
          <w:szCs w:val="28"/>
        </w:rPr>
        <w:t>640</w:t>
      </w:r>
    </w:p>
    <w:p w:rsidR="008B595D" w:rsidRDefault="008B595D" w:rsidP="00835F30">
      <w:pPr>
        <w:pStyle w:val="Bezmez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</w:t>
      </w:r>
      <w:proofErr w:type="spellStart"/>
      <w:proofErr w:type="gramStart"/>
      <w:r>
        <w:rPr>
          <w:b/>
          <w:color w:val="C00000"/>
          <w:sz w:val="28"/>
          <w:szCs w:val="28"/>
        </w:rPr>
        <w:t>č.ú</w:t>
      </w:r>
      <w:proofErr w:type="spellEnd"/>
      <w:r>
        <w:rPr>
          <w:b/>
          <w:color w:val="C00000"/>
          <w:sz w:val="28"/>
          <w:szCs w:val="28"/>
        </w:rPr>
        <w:t>.:</w:t>
      </w:r>
      <w:proofErr w:type="gramEnd"/>
      <w:r>
        <w:rPr>
          <w:b/>
          <w:color w:val="C00000"/>
          <w:sz w:val="28"/>
          <w:szCs w:val="28"/>
        </w:rPr>
        <w:t xml:space="preserve"> 199 511 309/0600</w:t>
      </w:r>
    </w:p>
    <w:p w:rsidR="00835F30" w:rsidRDefault="00835F30" w:rsidP="00835F30">
      <w:pPr>
        <w:pStyle w:val="Bezmezer"/>
        <w:rPr>
          <w:b/>
          <w:color w:val="C00000"/>
          <w:sz w:val="28"/>
          <w:szCs w:val="28"/>
        </w:rPr>
      </w:pPr>
    </w:p>
    <w:p w:rsidR="00835F30" w:rsidRDefault="00835F30" w:rsidP="00835F3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Sdružení nemá založenou hospodářskou činnost, nejsou zřízeny žádné vlastní organizace.</w:t>
      </w:r>
    </w:p>
    <w:p w:rsidR="00835F30" w:rsidRDefault="00835F30" w:rsidP="00835F30">
      <w:pPr>
        <w:pStyle w:val="Bezmezer"/>
        <w:rPr>
          <w:sz w:val="28"/>
          <w:szCs w:val="28"/>
        </w:rPr>
      </w:pPr>
    </w:p>
    <w:p w:rsidR="00835F30" w:rsidRDefault="00835F30" w:rsidP="00835F3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Sdružení má k </w:t>
      </w:r>
      <w:proofErr w:type="gramStart"/>
      <w:r>
        <w:rPr>
          <w:sz w:val="28"/>
          <w:szCs w:val="28"/>
        </w:rPr>
        <w:t>31.12.2012</w:t>
      </w:r>
      <w:proofErr w:type="gramEnd"/>
      <w:r>
        <w:rPr>
          <w:sz w:val="28"/>
          <w:szCs w:val="28"/>
        </w:rPr>
        <w:t xml:space="preserve"> celkem 18 členů:</w:t>
      </w:r>
    </w:p>
    <w:p w:rsidR="00835F30" w:rsidRDefault="00835F30" w:rsidP="00835F30">
      <w:pPr>
        <w:pStyle w:val="Bezmezer"/>
        <w:rPr>
          <w:sz w:val="28"/>
          <w:szCs w:val="28"/>
        </w:rPr>
      </w:pP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Albrechtice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Anenská Studánka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Cotkytle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Čenkovice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Damníkov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Horní Heřmanice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Krasíkov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Lanškroun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Lubník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Luková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Petrovice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Rudoltice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Sázava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Strážná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Tatenice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Trpík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Výprachtice</w:t>
      </w:r>
    </w:p>
    <w:p w:rsidR="00835F30" w:rsidRDefault="00835F30" w:rsidP="00835F30">
      <w:pPr>
        <w:pStyle w:val="Bezmezer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Žichlínek</w:t>
      </w:r>
    </w:p>
    <w:p w:rsidR="00835F30" w:rsidRDefault="00835F30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8B595D" w:rsidRDefault="008B595D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8B595D" w:rsidRDefault="008B595D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8B595D" w:rsidRDefault="008B595D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8B595D" w:rsidRDefault="008B595D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5C5BFA" w:rsidRDefault="005C5BFA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0519F7" w:rsidRDefault="000519F7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0519F7" w:rsidRDefault="000519F7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0519F7" w:rsidRDefault="000519F7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0519F7" w:rsidRDefault="000519F7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0519F7" w:rsidRDefault="000519F7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0519F7" w:rsidRDefault="000519F7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0519F7" w:rsidRDefault="000519F7" w:rsidP="00835F30">
      <w:pPr>
        <w:pStyle w:val="Bezmezer"/>
        <w:tabs>
          <w:tab w:val="left" w:pos="1418"/>
        </w:tabs>
        <w:ind w:left="720"/>
        <w:rPr>
          <w:sz w:val="28"/>
          <w:szCs w:val="28"/>
        </w:rPr>
      </w:pPr>
    </w:p>
    <w:p w:rsidR="008B595D" w:rsidRPr="005C5BFA" w:rsidRDefault="008B595D" w:rsidP="005C5BFA">
      <w:pPr>
        <w:pStyle w:val="Bezmezer"/>
        <w:numPr>
          <w:ilvl w:val="0"/>
          <w:numId w:val="2"/>
        </w:numPr>
        <w:tabs>
          <w:tab w:val="left" w:pos="567"/>
        </w:tabs>
        <w:ind w:left="142" w:firstLine="0"/>
        <w:rPr>
          <w:b/>
          <w:sz w:val="28"/>
          <w:szCs w:val="28"/>
        </w:rPr>
      </w:pPr>
      <w:r w:rsidRPr="005C5BFA">
        <w:rPr>
          <w:b/>
          <w:sz w:val="28"/>
          <w:szCs w:val="28"/>
        </w:rPr>
        <w:lastRenderedPageBreak/>
        <w:t>Rozpočet sdružení:</w:t>
      </w:r>
    </w:p>
    <w:p w:rsidR="00BA5388" w:rsidRDefault="008B595D" w:rsidP="005C5BFA">
      <w:pPr>
        <w:pStyle w:val="Bezmezer"/>
        <w:tabs>
          <w:tab w:val="left" w:pos="1418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Rozpočet byl vytvořen v souladu se zákonem č. 128/2000Sb. o obcích a zákonem č. 250/2000 Sb. o rozpočtových pravidlech územních rozpočtů, ve znění platných předpisů. Byl vyvěšen v rozmezí od </w:t>
      </w:r>
      <w:proofErr w:type="gramStart"/>
      <w:r>
        <w:rPr>
          <w:sz w:val="28"/>
          <w:szCs w:val="28"/>
        </w:rPr>
        <w:t>5.3.2012</w:t>
      </w:r>
      <w:proofErr w:type="gramEnd"/>
      <w:r>
        <w:rPr>
          <w:sz w:val="28"/>
          <w:szCs w:val="28"/>
        </w:rPr>
        <w:t xml:space="preserve"> do </w:t>
      </w:r>
      <w:r w:rsidR="001E7392">
        <w:rPr>
          <w:sz w:val="28"/>
          <w:szCs w:val="28"/>
        </w:rPr>
        <w:t xml:space="preserve">27.3. ve všech členských obcích a schválený na </w:t>
      </w:r>
      <w:r w:rsidR="00BA5388">
        <w:rPr>
          <w:sz w:val="28"/>
          <w:szCs w:val="28"/>
        </w:rPr>
        <w:t>S</w:t>
      </w:r>
      <w:r w:rsidR="001E7392">
        <w:rPr>
          <w:sz w:val="28"/>
          <w:szCs w:val="28"/>
        </w:rPr>
        <w:t xml:space="preserve">hromáždění starostů dne </w:t>
      </w:r>
      <w:r>
        <w:rPr>
          <w:sz w:val="28"/>
          <w:szCs w:val="28"/>
        </w:rPr>
        <w:t xml:space="preserve"> </w:t>
      </w:r>
      <w:r w:rsidR="001E7392">
        <w:rPr>
          <w:sz w:val="28"/>
          <w:szCs w:val="28"/>
        </w:rPr>
        <w:t>2</w:t>
      </w:r>
      <w:r w:rsidR="00D145D9">
        <w:rPr>
          <w:sz w:val="28"/>
          <w:szCs w:val="28"/>
        </w:rPr>
        <w:t>7</w:t>
      </w:r>
      <w:r w:rsidR="001E7392">
        <w:rPr>
          <w:sz w:val="28"/>
          <w:szCs w:val="28"/>
        </w:rPr>
        <w:t xml:space="preserve">.3.2012. Do doby schválení rozpočtu sdružení pro rok 2012 bylo postupováno při hospodaření sdružení dle rozpočtového provizoria, schváleného </w:t>
      </w:r>
      <w:r w:rsidR="00BA5388">
        <w:rPr>
          <w:sz w:val="28"/>
          <w:szCs w:val="28"/>
        </w:rPr>
        <w:t xml:space="preserve">Shromážděním starostů dne </w:t>
      </w:r>
      <w:proofErr w:type="gramStart"/>
      <w:r w:rsidR="00BA5388">
        <w:rPr>
          <w:sz w:val="28"/>
          <w:szCs w:val="28"/>
        </w:rPr>
        <w:t>15.12.2011</w:t>
      </w:r>
      <w:proofErr w:type="gramEnd"/>
      <w:r w:rsidR="00BA5388">
        <w:rPr>
          <w:sz w:val="28"/>
          <w:szCs w:val="28"/>
        </w:rPr>
        <w:t>.</w:t>
      </w:r>
      <w:r w:rsidR="000519F7">
        <w:rPr>
          <w:sz w:val="28"/>
          <w:szCs w:val="28"/>
        </w:rPr>
        <w:t xml:space="preserve"> </w:t>
      </w:r>
      <w:r w:rsidR="00BA5388">
        <w:rPr>
          <w:sz w:val="28"/>
          <w:szCs w:val="28"/>
        </w:rPr>
        <w:t>Schválený rozpočet na rok 2012 byl upravován dvěma rozpočtovými opatřeními.</w:t>
      </w:r>
    </w:p>
    <w:p w:rsidR="00BA5388" w:rsidRPr="000519F7" w:rsidRDefault="00BA5388" w:rsidP="005C5BFA">
      <w:pPr>
        <w:pStyle w:val="Bezmezer"/>
        <w:tabs>
          <w:tab w:val="left" w:pos="1418"/>
        </w:tabs>
        <w:ind w:left="142"/>
        <w:rPr>
          <w:sz w:val="18"/>
          <w:szCs w:val="18"/>
        </w:rPr>
      </w:pPr>
    </w:p>
    <w:p w:rsidR="00BA5388" w:rsidRDefault="00BA5388" w:rsidP="008B595D">
      <w:pPr>
        <w:pStyle w:val="Bezmezer"/>
        <w:tabs>
          <w:tab w:val="left" w:pos="1418"/>
        </w:tabs>
        <w:ind w:left="720"/>
        <w:rPr>
          <w:sz w:val="28"/>
          <w:szCs w:val="28"/>
        </w:rPr>
      </w:pPr>
      <w:r>
        <w:rPr>
          <w:sz w:val="28"/>
          <w:szCs w:val="28"/>
        </w:rPr>
        <w:t>Údaje o plnění příjmů a výdajů za rok 2012 (v Kč)</w:t>
      </w:r>
    </w:p>
    <w:tbl>
      <w:tblPr>
        <w:tblStyle w:val="Mkatabulky"/>
        <w:tblW w:w="10138" w:type="dxa"/>
        <w:tblInd w:w="250" w:type="dxa"/>
        <w:tblLook w:val="04A0"/>
      </w:tblPr>
      <w:tblGrid>
        <w:gridCol w:w="3285"/>
        <w:gridCol w:w="1518"/>
        <w:gridCol w:w="1573"/>
        <w:gridCol w:w="1834"/>
        <w:gridCol w:w="1928"/>
      </w:tblGrid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Schválený rozpočet</w:t>
            </w:r>
          </w:p>
        </w:tc>
        <w:tc>
          <w:tcPr>
            <w:tcW w:w="1573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Upravený rozpočet</w:t>
            </w:r>
          </w:p>
        </w:tc>
        <w:tc>
          <w:tcPr>
            <w:tcW w:w="1834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Plnění k </w:t>
            </w:r>
            <w:proofErr w:type="gramStart"/>
            <w:r>
              <w:rPr>
                <w:sz w:val="28"/>
                <w:szCs w:val="28"/>
              </w:rPr>
              <w:t>31.12.2012</w:t>
            </w:r>
            <w:proofErr w:type="gramEnd"/>
          </w:p>
        </w:tc>
        <w:tc>
          <w:tcPr>
            <w:tcW w:w="192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%plnění k upravenému rozpočtu</w:t>
            </w:r>
          </w:p>
        </w:tc>
      </w:tr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1 – Daňové příjmy</w:t>
            </w:r>
          </w:p>
        </w:tc>
        <w:tc>
          <w:tcPr>
            <w:tcW w:w="151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</w:tr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2 – Nedaňové příjmy</w:t>
            </w:r>
          </w:p>
        </w:tc>
        <w:tc>
          <w:tcPr>
            <w:tcW w:w="1518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  <w:tc>
          <w:tcPr>
            <w:tcW w:w="1573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21 060</w:t>
            </w:r>
          </w:p>
        </w:tc>
        <w:tc>
          <w:tcPr>
            <w:tcW w:w="1834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20 870,64</w:t>
            </w:r>
          </w:p>
        </w:tc>
        <w:tc>
          <w:tcPr>
            <w:tcW w:w="1928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99,10</w:t>
            </w:r>
          </w:p>
        </w:tc>
      </w:tr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3 – Kapitálové příjmy</w:t>
            </w:r>
          </w:p>
        </w:tc>
        <w:tc>
          <w:tcPr>
            <w:tcW w:w="151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</w:tr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Třída 4 – Přijaté </w:t>
            </w:r>
            <w:proofErr w:type="spellStart"/>
            <w:r>
              <w:rPr>
                <w:sz w:val="28"/>
                <w:szCs w:val="28"/>
              </w:rPr>
              <w:t>tranfery</w:t>
            </w:r>
            <w:proofErr w:type="spellEnd"/>
          </w:p>
        </w:tc>
        <w:tc>
          <w:tcPr>
            <w:tcW w:w="1518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12 577 870</w:t>
            </w:r>
          </w:p>
        </w:tc>
        <w:tc>
          <w:tcPr>
            <w:tcW w:w="1573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12 253 570</w:t>
            </w:r>
          </w:p>
        </w:tc>
        <w:tc>
          <w:tcPr>
            <w:tcW w:w="1834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18 671 075</w:t>
            </w:r>
          </w:p>
        </w:tc>
        <w:tc>
          <w:tcPr>
            <w:tcW w:w="1928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152,37</w:t>
            </w:r>
          </w:p>
        </w:tc>
      </w:tr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Konsolidace příjmů</w:t>
            </w:r>
          </w:p>
        </w:tc>
        <w:tc>
          <w:tcPr>
            <w:tcW w:w="151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6 417 500</w:t>
            </w:r>
          </w:p>
        </w:tc>
        <w:tc>
          <w:tcPr>
            <w:tcW w:w="192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</w:tr>
      <w:tr w:rsidR="00BA5388" w:rsidTr="005C5BFA">
        <w:tc>
          <w:tcPr>
            <w:tcW w:w="3285" w:type="dxa"/>
          </w:tcPr>
          <w:p w:rsidR="00BA5388" w:rsidRPr="00BA5388" w:rsidRDefault="00BA5388" w:rsidP="008B595D">
            <w:pPr>
              <w:pStyle w:val="Bezmezer"/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BA5388">
              <w:rPr>
                <w:b/>
                <w:sz w:val="28"/>
                <w:szCs w:val="28"/>
              </w:rPr>
              <w:t>Příjmy celkem po konsolidaci</w:t>
            </w:r>
          </w:p>
        </w:tc>
        <w:tc>
          <w:tcPr>
            <w:tcW w:w="1518" w:type="dxa"/>
          </w:tcPr>
          <w:p w:rsidR="00BA5388" w:rsidRP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12 581 780</w:t>
            </w:r>
          </w:p>
        </w:tc>
        <w:tc>
          <w:tcPr>
            <w:tcW w:w="1573" w:type="dxa"/>
          </w:tcPr>
          <w:p w:rsidR="00BA5388" w:rsidRP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12 274 630</w:t>
            </w:r>
          </w:p>
        </w:tc>
        <w:tc>
          <w:tcPr>
            <w:tcW w:w="1834" w:type="dxa"/>
          </w:tcPr>
          <w:p w:rsidR="00BA5388" w:rsidRP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12 274 445,64</w:t>
            </w:r>
          </w:p>
        </w:tc>
        <w:tc>
          <w:tcPr>
            <w:tcW w:w="1928" w:type="dxa"/>
          </w:tcPr>
          <w:p w:rsidR="00BA5388" w:rsidRP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5 – Běžné výdaje</w:t>
            </w:r>
          </w:p>
        </w:tc>
        <w:tc>
          <w:tcPr>
            <w:tcW w:w="1518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556 900</w:t>
            </w:r>
          </w:p>
        </w:tc>
        <w:tc>
          <w:tcPr>
            <w:tcW w:w="1573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877 090</w:t>
            </w:r>
          </w:p>
        </w:tc>
        <w:tc>
          <w:tcPr>
            <w:tcW w:w="1834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7 276 729,93</w:t>
            </w:r>
          </w:p>
        </w:tc>
        <w:tc>
          <w:tcPr>
            <w:tcW w:w="1928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829,64</w:t>
            </w:r>
          </w:p>
        </w:tc>
      </w:tr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6 – Kapitálové výdaje</w:t>
            </w:r>
          </w:p>
        </w:tc>
        <w:tc>
          <w:tcPr>
            <w:tcW w:w="1518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17 581 800</w:t>
            </w:r>
          </w:p>
        </w:tc>
        <w:tc>
          <w:tcPr>
            <w:tcW w:w="1573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15 612 750</w:t>
            </w:r>
          </w:p>
        </w:tc>
        <w:tc>
          <w:tcPr>
            <w:tcW w:w="1834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15 562 071,68</w:t>
            </w:r>
          </w:p>
        </w:tc>
        <w:tc>
          <w:tcPr>
            <w:tcW w:w="1928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99,68</w:t>
            </w:r>
          </w:p>
        </w:tc>
      </w:tr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Konsolidace výdajů</w:t>
            </w:r>
          </w:p>
        </w:tc>
        <w:tc>
          <w:tcPr>
            <w:tcW w:w="151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6 417 500</w:t>
            </w:r>
          </w:p>
        </w:tc>
        <w:tc>
          <w:tcPr>
            <w:tcW w:w="192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</w:tr>
      <w:tr w:rsidR="00BA5388" w:rsidTr="005C5BFA">
        <w:tc>
          <w:tcPr>
            <w:tcW w:w="3285" w:type="dxa"/>
          </w:tcPr>
          <w:p w:rsidR="00BA5388" w:rsidRPr="00BA5388" w:rsidRDefault="00BA5388" w:rsidP="008B595D">
            <w:pPr>
              <w:pStyle w:val="Bezmezer"/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BA5388">
              <w:rPr>
                <w:b/>
                <w:sz w:val="28"/>
                <w:szCs w:val="28"/>
              </w:rPr>
              <w:t>Výdaje celkem po konsolidaci</w:t>
            </w:r>
          </w:p>
        </w:tc>
        <w:tc>
          <w:tcPr>
            <w:tcW w:w="1518" w:type="dxa"/>
          </w:tcPr>
          <w:p w:rsidR="00BA5388" w:rsidRP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18 138 700</w:t>
            </w:r>
          </w:p>
        </w:tc>
        <w:tc>
          <w:tcPr>
            <w:tcW w:w="1573" w:type="dxa"/>
          </w:tcPr>
          <w:p w:rsidR="00BA5388" w:rsidRP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16 489 840</w:t>
            </w:r>
          </w:p>
        </w:tc>
        <w:tc>
          <w:tcPr>
            <w:tcW w:w="1834" w:type="dxa"/>
          </w:tcPr>
          <w:p w:rsidR="00BA5388" w:rsidRP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16 421 301,61</w:t>
            </w:r>
          </w:p>
        </w:tc>
        <w:tc>
          <w:tcPr>
            <w:tcW w:w="1928" w:type="dxa"/>
          </w:tcPr>
          <w:p w:rsidR="00BA5388" w:rsidRPr="00BA5388" w:rsidRDefault="00A509FA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99,58</w:t>
            </w:r>
          </w:p>
        </w:tc>
      </w:tr>
      <w:tr w:rsidR="00BA5388" w:rsidTr="005C5BFA">
        <w:tc>
          <w:tcPr>
            <w:tcW w:w="3285" w:type="dxa"/>
          </w:tcPr>
          <w:p w:rsidR="00BA5388" w:rsidRPr="00BA5388" w:rsidRDefault="00BA5388" w:rsidP="008B595D">
            <w:pPr>
              <w:pStyle w:val="Bezmezer"/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BA5388">
              <w:rPr>
                <w:b/>
                <w:sz w:val="28"/>
                <w:szCs w:val="28"/>
              </w:rPr>
              <w:t>Saldo: Příjmy – výdaje</w:t>
            </w:r>
          </w:p>
        </w:tc>
        <w:tc>
          <w:tcPr>
            <w:tcW w:w="1518" w:type="dxa"/>
          </w:tcPr>
          <w:p w:rsidR="00BA5388" w:rsidRP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-5 556 830</w:t>
            </w:r>
          </w:p>
        </w:tc>
        <w:tc>
          <w:tcPr>
            <w:tcW w:w="1573" w:type="dxa"/>
          </w:tcPr>
          <w:p w:rsidR="00BA5388" w:rsidRP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-4 215 210</w:t>
            </w:r>
          </w:p>
        </w:tc>
        <w:tc>
          <w:tcPr>
            <w:tcW w:w="1834" w:type="dxa"/>
          </w:tcPr>
          <w:p w:rsidR="00BA5388" w:rsidRP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-4 146 855,97</w:t>
            </w:r>
          </w:p>
        </w:tc>
        <w:tc>
          <w:tcPr>
            <w:tcW w:w="1928" w:type="dxa"/>
          </w:tcPr>
          <w:p w:rsidR="00BA5388" w:rsidRP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98,38</w:t>
            </w:r>
          </w:p>
        </w:tc>
      </w:tr>
      <w:tr w:rsidR="00BA5388" w:rsidTr="005C5BFA">
        <w:tc>
          <w:tcPr>
            <w:tcW w:w="3285" w:type="dxa"/>
          </w:tcPr>
          <w:p w:rsidR="00BA5388" w:rsidRPr="00BA5388" w:rsidRDefault="00BA5388" w:rsidP="008B595D">
            <w:pPr>
              <w:pStyle w:val="Bezmezer"/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BA5388">
              <w:rPr>
                <w:b/>
                <w:sz w:val="28"/>
                <w:szCs w:val="28"/>
              </w:rPr>
              <w:t>Třída 8 – financování</w:t>
            </w:r>
          </w:p>
        </w:tc>
        <w:tc>
          <w:tcPr>
            <w:tcW w:w="1518" w:type="dxa"/>
          </w:tcPr>
          <w:p w:rsidR="00BA5388" w:rsidRP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BA5388" w:rsidRP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BA5388" w:rsidRP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BA5388" w:rsidRP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A5388" w:rsidTr="005C5BFA">
        <w:tc>
          <w:tcPr>
            <w:tcW w:w="3285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Přijaté úvěry a půjčky</w:t>
            </w:r>
          </w:p>
        </w:tc>
        <w:tc>
          <w:tcPr>
            <w:tcW w:w="1518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4 342 000</w:t>
            </w:r>
          </w:p>
        </w:tc>
        <w:tc>
          <w:tcPr>
            <w:tcW w:w="1573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4 338 300</w:t>
            </w:r>
          </w:p>
        </w:tc>
        <w:tc>
          <w:tcPr>
            <w:tcW w:w="1834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4 338 308,82</w:t>
            </w:r>
          </w:p>
        </w:tc>
        <w:tc>
          <w:tcPr>
            <w:tcW w:w="1928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Splátky úvěrů</w:t>
            </w:r>
          </w:p>
        </w:tc>
        <w:tc>
          <w:tcPr>
            <w:tcW w:w="1518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-4 342 000</w:t>
            </w:r>
          </w:p>
        </w:tc>
        <w:tc>
          <w:tcPr>
            <w:tcW w:w="1573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-4 338 300 </w:t>
            </w:r>
          </w:p>
        </w:tc>
        <w:tc>
          <w:tcPr>
            <w:tcW w:w="1834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-4 338 308,82</w:t>
            </w:r>
          </w:p>
        </w:tc>
        <w:tc>
          <w:tcPr>
            <w:tcW w:w="1928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Fond rezerv</w:t>
            </w:r>
          </w:p>
        </w:tc>
        <w:tc>
          <w:tcPr>
            <w:tcW w:w="151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</w:tr>
      <w:tr w:rsidR="00BA5388" w:rsidTr="005C5BFA">
        <w:tc>
          <w:tcPr>
            <w:tcW w:w="3285" w:type="dxa"/>
          </w:tcPr>
          <w:p w:rsidR="00BA5388" w:rsidRDefault="00BA5388" w:rsidP="008B595D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Prostředky minulých let</w:t>
            </w:r>
          </w:p>
        </w:tc>
        <w:tc>
          <w:tcPr>
            <w:tcW w:w="1518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5 556 830</w:t>
            </w:r>
          </w:p>
        </w:tc>
        <w:tc>
          <w:tcPr>
            <w:tcW w:w="1573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4 215 210</w:t>
            </w:r>
          </w:p>
        </w:tc>
        <w:tc>
          <w:tcPr>
            <w:tcW w:w="1834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4 146 855,97</w:t>
            </w:r>
          </w:p>
        </w:tc>
        <w:tc>
          <w:tcPr>
            <w:tcW w:w="1928" w:type="dxa"/>
          </w:tcPr>
          <w:p w:rsidR="00BA5388" w:rsidRDefault="00294C6B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98,38</w:t>
            </w:r>
          </w:p>
        </w:tc>
      </w:tr>
      <w:tr w:rsidR="00BA5388" w:rsidTr="005C5BFA">
        <w:tc>
          <w:tcPr>
            <w:tcW w:w="3285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Operace z peněž. příjmů ostatní</w:t>
            </w:r>
          </w:p>
        </w:tc>
        <w:tc>
          <w:tcPr>
            <w:tcW w:w="151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</w:tc>
      </w:tr>
      <w:tr w:rsidR="005C5BFA" w:rsidRPr="00BA5388" w:rsidTr="005C5BFA">
        <w:tc>
          <w:tcPr>
            <w:tcW w:w="3285" w:type="dxa"/>
          </w:tcPr>
          <w:p w:rsidR="005C5BFA" w:rsidRPr="00BA5388" w:rsidRDefault="005C5BFA" w:rsidP="008B595D">
            <w:pPr>
              <w:pStyle w:val="Bezmezer"/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BA5388">
              <w:rPr>
                <w:b/>
                <w:sz w:val="28"/>
                <w:szCs w:val="28"/>
              </w:rPr>
              <w:t>Financování celkem</w:t>
            </w:r>
          </w:p>
        </w:tc>
        <w:tc>
          <w:tcPr>
            <w:tcW w:w="1518" w:type="dxa"/>
          </w:tcPr>
          <w:p w:rsidR="005C5BFA" w:rsidRPr="00BA5388" w:rsidRDefault="005C5BFA" w:rsidP="00532077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5 556 830</w:t>
            </w:r>
          </w:p>
        </w:tc>
        <w:tc>
          <w:tcPr>
            <w:tcW w:w="1573" w:type="dxa"/>
          </w:tcPr>
          <w:p w:rsidR="005C5BFA" w:rsidRPr="00BA5388" w:rsidRDefault="005C5BFA" w:rsidP="00532077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4 215 210</w:t>
            </w:r>
          </w:p>
        </w:tc>
        <w:tc>
          <w:tcPr>
            <w:tcW w:w="1834" w:type="dxa"/>
          </w:tcPr>
          <w:p w:rsidR="005C5BFA" w:rsidRPr="00BA5388" w:rsidRDefault="005C5BFA" w:rsidP="00532077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4 146 855,97</w:t>
            </w:r>
          </w:p>
        </w:tc>
        <w:tc>
          <w:tcPr>
            <w:tcW w:w="1928" w:type="dxa"/>
          </w:tcPr>
          <w:p w:rsidR="005C5BFA" w:rsidRPr="00BA5388" w:rsidRDefault="005C5BFA" w:rsidP="00532077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98,38</w:t>
            </w:r>
          </w:p>
        </w:tc>
      </w:tr>
      <w:tr w:rsidR="00BA5388" w:rsidRPr="00BA5388" w:rsidTr="005C5BFA">
        <w:tc>
          <w:tcPr>
            <w:tcW w:w="3285" w:type="dxa"/>
          </w:tcPr>
          <w:p w:rsidR="00BA5388" w:rsidRPr="00BA5388" w:rsidRDefault="006C0483" w:rsidP="006C0483">
            <w:pPr>
              <w:pStyle w:val="Bezmezer"/>
              <w:tabs>
                <w:tab w:val="left" w:pos="141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Schodek</w:t>
            </w:r>
            <w:r w:rsidR="00BA5388" w:rsidRPr="00BA5388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+</w:t>
            </w:r>
            <w:r w:rsidR="00BA5388" w:rsidRPr="00BA538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18" w:type="dxa"/>
          </w:tcPr>
          <w:p w:rsidR="00BA5388" w:rsidRP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BA5388" w:rsidRP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BA5388" w:rsidRPr="00BA5388" w:rsidRDefault="006C0483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4 146 855,97</w:t>
            </w:r>
          </w:p>
        </w:tc>
        <w:tc>
          <w:tcPr>
            <w:tcW w:w="1928" w:type="dxa"/>
          </w:tcPr>
          <w:p w:rsidR="00BA5388" w:rsidRPr="00BA5388" w:rsidRDefault="00BA5388" w:rsidP="00BA5388">
            <w:pPr>
              <w:pStyle w:val="Bezmezer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A5388" w:rsidRDefault="005C5BFA" w:rsidP="005C5BFA">
      <w:pPr>
        <w:pStyle w:val="Bezmezer"/>
        <w:tabs>
          <w:tab w:val="left" w:pos="1418"/>
        </w:tabs>
        <w:ind w:left="142"/>
        <w:rPr>
          <w:sz w:val="28"/>
          <w:szCs w:val="28"/>
        </w:rPr>
      </w:pPr>
      <w:r>
        <w:rPr>
          <w:sz w:val="28"/>
          <w:szCs w:val="28"/>
        </w:rPr>
        <w:t>Údaje o plnění rozpočtu příjmů, výdajů a dalších finančních operací v plném členění podle rozpočtové skladby jsou k </w:t>
      </w:r>
      <w:proofErr w:type="gramStart"/>
      <w:r>
        <w:rPr>
          <w:sz w:val="28"/>
          <w:szCs w:val="28"/>
        </w:rPr>
        <w:t>nahlédnutí  na</w:t>
      </w:r>
      <w:proofErr w:type="gramEnd"/>
      <w:r>
        <w:rPr>
          <w:sz w:val="28"/>
          <w:szCs w:val="28"/>
        </w:rPr>
        <w:t xml:space="preserve"> firmě REDEA Žamberk s.r.o.</w:t>
      </w:r>
    </w:p>
    <w:p w:rsidR="004A09DB" w:rsidRPr="000519F7" w:rsidRDefault="004A09DB" w:rsidP="005C5BFA">
      <w:pPr>
        <w:pStyle w:val="Bezmezer"/>
        <w:tabs>
          <w:tab w:val="left" w:pos="1418"/>
        </w:tabs>
        <w:ind w:left="142"/>
        <w:rPr>
          <w:sz w:val="20"/>
          <w:szCs w:val="20"/>
        </w:rPr>
      </w:pPr>
    </w:p>
    <w:p w:rsidR="004A09DB" w:rsidRDefault="004A09DB" w:rsidP="004A09DB">
      <w:pPr>
        <w:pStyle w:val="Bezmezer"/>
        <w:numPr>
          <w:ilvl w:val="0"/>
          <w:numId w:val="2"/>
        </w:numPr>
        <w:tabs>
          <w:tab w:val="left" w:pos="1418"/>
        </w:tabs>
        <w:ind w:left="426" w:hanging="426"/>
        <w:rPr>
          <w:b/>
          <w:sz w:val="28"/>
          <w:szCs w:val="28"/>
        </w:rPr>
      </w:pPr>
      <w:r w:rsidRPr="004A09DB">
        <w:rPr>
          <w:b/>
          <w:sz w:val="28"/>
          <w:szCs w:val="28"/>
        </w:rPr>
        <w:t>Vyúčtování finančních vztahů ke státnímu rozpočtu a ostatním rozpočtům</w:t>
      </w:r>
    </w:p>
    <w:p w:rsidR="004A09DB" w:rsidRDefault="004A09DB" w:rsidP="004A09DB">
      <w:pPr>
        <w:pStyle w:val="Bezmezer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Dotace pro </w:t>
      </w:r>
      <w:proofErr w:type="spellStart"/>
      <w:r>
        <w:rPr>
          <w:sz w:val="28"/>
          <w:szCs w:val="28"/>
        </w:rPr>
        <w:t>Lanškrounsko</w:t>
      </w:r>
      <w:proofErr w:type="spellEnd"/>
      <w:r>
        <w:rPr>
          <w:sz w:val="28"/>
          <w:szCs w:val="28"/>
        </w:rPr>
        <w:t xml:space="preserve"> v roce 2012 činily celkem 8 4</w:t>
      </w:r>
      <w:r w:rsidR="006F232A">
        <w:rPr>
          <w:sz w:val="28"/>
          <w:szCs w:val="28"/>
        </w:rPr>
        <w:t>39</w:t>
      </w:r>
      <w:r>
        <w:rPr>
          <w:sz w:val="28"/>
          <w:szCs w:val="28"/>
        </w:rPr>
        <w:t> 400 Kč. Jednalo se o tyto dotace:</w:t>
      </w:r>
    </w:p>
    <w:p w:rsidR="004A09DB" w:rsidRDefault="004A09DB" w:rsidP="004A09DB">
      <w:pPr>
        <w:pStyle w:val="Bezmezer"/>
        <w:numPr>
          <w:ilvl w:val="0"/>
          <w:numId w:val="3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SFDI – cyklostezka La-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, UZ </w:t>
      </w:r>
      <w:proofErr w:type="gramStart"/>
      <w:r>
        <w:rPr>
          <w:sz w:val="28"/>
          <w:szCs w:val="28"/>
        </w:rPr>
        <w:t>91628 :  5 </w:t>
      </w:r>
      <w:r w:rsidR="006F232A">
        <w:rPr>
          <w:sz w:val="28"/>
          <w:szCs w:val="28"/>
        </w:rPr>
        <w:t>936</w:t>
      </w:r>
      <w:r>
        <w:rPr>
          <w:sz w:val="28"/>
          <w:szCs w:val="28"/>
        </w:rPr>
        <w:t> 000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kč</w:t>
      </w:r>
      <w:proofErr w:type="spellEnd"/>
    </w:p>
    <w:p w:rsidR="004A09DB" w:rsidRDefault="004A09DB" w:rsidP="004A09DB">
      <w:pPr>
        <w:pStyle w:val="Bezmezer"/>
        <w:numPr>
          <w:ilvl w:val="0"/>
          <w:numId w:val="3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SFŽP  - protipovodňové opatření, UZ 15825 : 2 147 100 Kč </w:t>
      </w:r>
    </w:p>
    <w:p w:rsidR="004A09DB" w:rsidRDefault="004A09DB" w:rsidP="004A09DB">
      <w:pPr>
        <w:pStyle w:val="Bezmezer"/>
        <w:numPr>
          <w:ilvl w:val="0"/>
          <w:numId w:val="3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SFŽP – protipovodňové opatření, UZ 90877 : 126 300 Kč</w:t>
      </w:r>
    </w:p>
    <w:p w:rsidR="004A09DB" w:rsidRDefault="004A09DB" w:rsidP="004A09DB">
      <w:pPr>
        <w:pStyle w:val="Bezmezer"/>
        <w:numPr>
          <w:ilvl w:val="0"/>
          <w:numId w:val="3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POV – Drobná </w:t>
      </w:r>
      <w:proofErr w:type="gramStart"/>
      <w:r>
        <w:rPr>
          <w:sz w:val="28"/>
          <w:szCs w:val="28"/>
        </w:rPr>
        <w:t>architektura : 200 000</w:t>
      </w:r>
      <w:proofErr w:type="gramEnd"/>
      <w:r>
        <w:rPr>
          <w:sz w:val="28"/>
          <w:szCs w:val="28"/>
        </w:rPr>
        <w:t xml:space="preserve"> Kč</w:t>
      </w:r>
    </w:p>
    <w:p w:rsidR="004A09DB" w:rsidRDefault="004A09DB" w:rsidP="004A09DB">
      <w:pPr>
        <w:pStyle w:val="Bezmezer"/>
        <w:numPr>
          <w:ilvl w:val="0"/>
          <w:numId w:val="3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POV – </w:t>
      </w:r>
      <w:proofErr w:type="gramStart"/>
      <w:r>
        <w:rPr>
          <w:sz w:val="28"/>
          <w:szCs w:val="28"/>
        </w:rPr>
        <w:t>Poradenství : 30 000</w:t>
      </w:r>
      <w:proofErr w:type="gramEnd"/>
      <w:r>
        <w:rPr>
          <w:sz w:val="28"/>
          <w:szCs w:val="28"/>
        </w:rPr>
        <w:t xml:space="preserve"> Kč</w:t>
      </w:r>
    </w:p>
    <w:p w:rsidR="006F232A" w:rsidRDefault="004A09DB" w:rsidP="004A09DB">
      <w:pPr>
        <w:pStyle w:val="Bezmezer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Dotace byly řádně vyúčtovány a v</w:t>
      </w:r>
      <w:r w:rsidR="006F232A">
        <w:rPr>
          <w:sz w:val="28"/>
          <w:szCs w:val="28"/>
        </w:rPr>
        <w:t>e všech</w:t>
      </w:r>
      <w:r>
        <w:rPr>
          <w:sz w:val="28"/>
          <w:szCs w:val="28"/>
        </w:rPr>
        <w:t> případech bylo vyčerpáno 100 % přijaté částky.</w:t>
      </w:r>
      <w:r w:rsidR="00D93471">
        <w:rPr>
          <w:sz w:val="28"/>
          <w:szCs w:val="28"/>
        </w:rPr>
        <w:t xml:space="preserve"> V případě a) </w:t>
      </w:r>
      <w:proofErr w:type="gramStart"/>
      <w:r w:rsidR="00D93471">
        <w:rPr>
          <w:sz w:val="28"/>
          <w:szCs w:val="28"/>
        </w:rPr>
        <w:t>bylo</w:t>
      </w:r>
      <w:proofErr w:type="gramEnd"/>
      <w:r w:rsidR="00D93471">
        <w:rPr>
          <w:sz w:val="28"/>
          <w:szCs w:val="28"/>
        </w:rPr>
        <w:t xml:space="preserve"> vyčerpáno o 51 tis Kč méně</w:t>
      </w:r>
      <w:r w:rsidR="006F232A">
        <w:rPr>
          <w:sz w:val="28"/>
          <w:szCs w:val="28"/>
        </w:rPr>
        <w:t xml:space="preserve"> než </w:t>
      </w:r>
      <w:proofErr w:type="gramStart"/>
      <w:r w:rsidR="006F232A">
        <w:rPr>
          <w:sz w:val="28"/>
          <w:szCs w:val="28"/>
        </w:rPr>
        <w:t>bylo</w:t>
      </w:r>
      <w:proofErr w:type="gramEnd"/>
      <w:r w:rsidR="006F232A">
        <w:rPr>
          <w:sz w:val="28"/>
          <w:szCs w:val="28"/>
        </w:rPr>
        <w:t xml:space="preserve"> přiděleno rozhodnutím</w:t>
      </w:r>
      <w:r w:rsidR="00D93471">
        <w:rPr>
          <w:sz w:val="28"/>
          <w:szCs w:val="28"/>
        </w:rPr>
        <w:t>.</w:t>
      </w:r>
    </w:p>
    <w:p w:rsidR="006F232A" w:rsidRPr="000519F7" w:rsidRDefault="006F232A" w:rsidP="004A09DB">
      <w:pPr>
        <w:pStyle w:val="Bezmezer"/>
        <w:tabs>
          <w:tab w:val="left" w:pos="1418"/>
        </w:tabs>
        <w:rPr>
          <w:sz w:val="28"/>
          <w:szCs w:val="28"/>
          <w:u w:val="single"/>
        </w:rPr>
      </w:pPr>
      <w:r w:rsidRPr="000519F7">
        <w:rPr>
          <w:sz w:val="28"/>
          <w:szCs w:val="28"/>
          <w:u w:val="single"/>
        </w:rPr>
        <w:lastRenderedPageBreak/>
        <w:t xml:space="preserve">Sdružení </w:t>
      </w:r>
      <w:proofErr w:type="spellStart"/>
      <w:r w:rsidRPr="000519F7">
        <w:rPr>
          <w:sz w:val="28"/>
          <w:szCs w:val="28"/>
          <w:u w:val="single"/>
        </w:rPr>
        <w:t>Lanškrounsko</w:t>
      </w:r>
      <w:proofErr w:type="spellEnd"/>
      <w:r w:rsidRPr="000519F7">
        <w:rPr>
          <w:sz w:val="28"/>
          <w:szCs w:val="28"/>
          <w:u w:val="single"/>
        </w:rPr>
        <w:t xml:space="preserve"> v roce 2012 poskytlo tyto transfery:</w:t>
      </w:r>
    </w:p>
    <w:p w:rsidR="006F232A" w:rsidRDefault="0049468D" w:rsidP="004A09DB">
      <w:pPr>
        <w:pStyle w:val="Bezmezer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Neinvestiční tran</w:t>
      </w:r>
      <w:r w:rsidR="006C0483">
        <w:rPr>
          <w:sz w:val="28"/>
          <w:szCs w:val="28"/>
        </w:rPr>
        <w:t>s</w:t>
      </w:r>
      <w:r>
        <w:rPr>
          <w:sz w:val="28"/>
          <w:szCs w:val="28"/>
        </w:rPr>
        <w:t xml:space="preserve">fer – řádný a mimořádný </w:t>
      </w:r>
      <w:proofErr w:type="spellStart"/>
      <w:r>
        <w:rPr>
          <w:sz w:val="28"/>
          <w:szCs w:val="28"/>
        </w:rPr>
        <w:t>přispěvek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OHP : 89 492</w:t>
      </w:r>
      <w:proofErr w:type="gramEnd"/>
      <w:r>
        <w:rPr>
          <w:sz w:val="28"/>
          <w:szCs w:val="28"/>
        </w:rPr>
        <w:t xml:space="preserve"> Kč</w:t>
      </w:r>
    </w:p>
    <w:p w:rsidR="0049468D" w:rsidRDefault="0049468D" w:rsidP="004A09DB">
      <w:pPr>
        <w:pStyle w:val="Bezmezer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Neinvestiční tran</w:t>
      </w:r>
      <w:r w:rsidR="006C0483">
        <w:rPr>
          <w:sz w:val="28"/>
          <w:szCs w:val="28"/>
        </w:rPr>
        <w:t>s</w:t>
      </w:r>
      <w:r>
        <w:rPr>
          <w:sz w:val="28"/>
          <w:szCs w:val="28"/>
        </w:rPr>
        <w:t xml:space="preserve">fer – </w:t>
      </w:r>
      <w:proofErr w:type="spellStart"/>
      <w:r>
        <w:rPr>
          <w:sz w:val="28"/>
          <w:szCs w:val="28"/>
        </w:rPr>
        <w:t>cyklo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glacensis</w:t>
      </w:r>
      <w:proofErr w:type="spellEnd"/>
      <w:r>
        <w:rPr>
          <w:sz w:val="28"/>
          <w:szCs w:val="28"/>
        </w:rPr>
        <w:t xml:space="preserve"> 2012 : 10 000 Kč</w:t>
      </w:r>
    </w:p>
    <w:p w:rsidR="0049468D" w:rsidRDefault="0049468D" w:rsidP="004A09DB">
      <w:pPr>
        <w:pStyle w:val="Bezmezer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Neinvestiční tran</w:t>
      </w:r>
      <w:r w:rsidR="006C0483">
        <w:rPr>
          <w:sz w:val="28"/>
          <w:szCs w:val="28"/>
        </w:rPr>
        <w:t>s</w:t>
      </w:r>
      <w:r>
        <w:rPr>
          <w:sz w:val="28"/>
          <w:szCs w:val="28"/>
        </w:rPr>
        <w:t>fer</w:t>
      </w:r>
      <w:r w:rsidR="004875B5">
        <w:rPr>
          <w:sz w:val="28"/>
          <w:szCs w:val="28"/>
        </w:rPr>
        <w:t xml:space="preserve"> -</w:t>
      </w:r>
      <w:r w:rsidR="006C0483">
        <w:rPr>
          <w:sz w:val="28"/>
          <w:szCs w:val="28"/>
        </w:rPr>
        <w:t xml:space="preserve"> DSO </w:t>
      </w:r>
      <w:proofErr w:type="spellStart"/>
      <w:proofErr w:type="gramStart"/>
      <w:r w:rsidR="006C0483">
        <w:rPr>
          <w:sz w:val="28"/>
          <w:szCs w:val="28"/>
        </w:rPr>
        <w:t>Orlicko</w:t>
      </w:r>
      <w:proofErr w:type="spellEnd"/>
      <w:r>
        <w:rPr>
          <w:sz w:val="28"/>
          <w:szCs w:val="28"/>
        </w:rPr>
        <w:t xml:space="preserve">  provoz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cyklobusů</w:t>
      </w:r>
      <w:proofErr w:type="spellEnd"/>
      <w:r>
        <w:rPr>
          <w:sz w:val="28"/>
          <w:szCs w:val="28"/>
        </w:rPr>
        <w:t xml:space="preserve"> : 13 000 Kč</w:t>
      </w:r>
    </w:p>
    <w:p w:rsidR="0049468D" w:rsidRDefault="0049468D" w:rsidP="004A09DB">
      <w:pPr>
        <w:pStyle w:val="Bezmezer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Neinvestiční tran</w:t>
      </w:r>
      <w:r w:rsidR="006C0483">
        <w:rPr>
          <w:sz w:val="28"/>
          <w:szCs w:val="28"/>
        </w:rPr>
        <w:t>s</w:t>
      </w:r>
      <w:r>
        <w:rPr>
          <w:sz w:val="28"/>
          <w:szCs w:val="28"/>
        </w:rPr>
        <w:t xml:space="preserve">fer </w:t>
      </w:r>
      <w:r w:rsidR="004875B5">
        <w:rPr>
          <w:sz w:val="28"/>
          <w:szCs w:val="28"/>
        </w:rPr>
        <w:t>-</w:t>
      </w:r>
      <w:r w:rsidR="006C0483">
        <w:rPr>
          <w:sz w:val="28"/>
          <w:szCs w:val="28"/>
        </w:rPr>
        <w:t xml:space="preserve"> DSO </w:t>
      </w:r>
      <w:proofErr w:type="spellStart"/>
      <w:proofErr w:type="gramStart"/>
      <w:r w:rsidR="006C0483">
        <w:rPr>
          <w:sz w:val="28"/>
          <w:szCs w:val="28"/>
        </w:rPr>
        <w:t>Orlicko</w:t>
      </w:r>
      <w:proofErr w:type="spellEnd"/>
      <w:r w:rsidR="006C0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provoz</w:t>
      </w:r>
      <w:proofErr w:type="gramEnd"/>
      <w:r>
        <w:rPr>
          <w:sz w:val="28"/>
          <w:szCs w:val="28"/>
        </w:rPr>
        <w:t xml:space="preserve"> rolby</w:t>
      </w:r>
      <w:r w:rsidR="004875B5">
        <w:rPr>
          <w:sz w:val="28"/>
          <w:szCs w:val="28"/>
        </w:rPr>
        <w:t>:</w:t>
      </w:r>
      <w:r w:rsidR="006C0483">
        <w:rPr>
          <w:sz w:val="28"/>
          <w:szCs w:val="28"/>
        </w:rPr>
        <w:t xml:space="preserve"> 50 000 Kč</w:t>
      </w:r>
    </w:p>
    <w:p w:rsidR="006C0483" w:rsidRPr="000519F7" w:rsidRDefault="006C0483" w:rsidP="004A09DB">
      <w:pPr>
        <w:pStyle w:val="Bezmezer"/>
        <w:tabs>
          <w:tab w:val="left" w:pos="1418"/>
        </w:tabs>
        <w:rPr>
          <w:sz w:val="20"/>
          <w:szCs w:val="20"/>
        </w:rPr>
      </w:pPr>
    </w:p>
    <w:p w:rsidR="006C0483" w:rsidRPr="006C0483" w:rsidRDefault="006C0483" w:rsidP="006C0483">
      <w:pPr>
        <w:pStyle w:val="Bezmezer"/>
        <w:numPr>
          <w:ilvl w:val="0"/>
          <w:numId w:val="2"/>
        </w:numPr>
        <w:tabs>
          <w:tab w:val="left" w:pos="1418"/>
        </w:tabs>
        <w:ind w:left="426" w:hanging="426"/>
        <w:rPr>
          <w:b/>
          <w:sz w:val="28"/>
          <w:szCs w:val="28"/>
        </w:rPr>
      </w:pPr>
      <w:r w:rsidRPr="006C0483">
        <w:rPr>
          <w:b/>
          <w:sz w:val="28"/>
          <w:szCs w:val="28"/>
        </w:rPr>
        <w:t>Hospodářská činnost sdružení</w:t>
      </w:r>
    </w:p>
    <w:p w:rsidR="006C0483" w:rsidRDefault="006C0483" w:rsidP="006C0483">
      <w:pPr>
        <w:pStyle w:val="Bezmezer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DSO </w:t>
      </w:r>
      <w:proofErr w:type="spellStart"/>
      <w:r>
        <w:rPr>
          <w:sz w:val="28"/>
          <w:szCs w:val="28"/>
        </w:rPr>
        <w:t>Lanškrounsko</w:t>
      </w:r>
      <w:proofErr w:type="spellEnd"/>
      <w:r>
        <w:rPr>
          <w:sz w:val="28"/>
          <w:szCs w:val="28"/>
        </w:rPr>
        <w:t xml:space="preserve"> nemá vlastní hospodářskou činnost, veškeré peněžní operace byly účtovány v rámci rozpočtu.</w:t>
      </w:r>
    </w:p>
    <w:p w:rsidR="006C0483" w:rsidRPr="000519F7" w:rsidRDefault="006C0483" w:rsidP="006C0483">
      <w:pPr>
        <w:pStyle w:val="Bezmezer"/>
        <w:tabs>
          <w:tab w:val="left" w:pos="1418"/>
        </w:tabs>
        <w:rPr>
          <w:sz w:val="20"/>
          <w:szCs w:val="20"/>
        </w:rPr>
      </w:pPr>
    </w:p>
    <w:p w:rsidR="006C0483" w:rsidRDefault="006C0483" w:rsidP="006C0483">
      <w:pPr>
        <w:pStyle w:val="Bezmezer"/>
        <w:numPr>
          <w:ilvl w:val="0"/>
          <w:numId w:val="2"/>
        </w:numPr>
        <w:tabs>
          <w:tab w:val="left" w:pos="426"/>
        </w:tabs>
        <w:ind w:left="142" w:hanging="142"/>
        <w:rPr>
          <w:b/>
          <w:sz w:val="28"/>
          <w:szCs w:val="28"/>
        </w:rPr>
      </w:pPr>
      <w:r w:rsidRPr="006C0483">
        <w:rPr>
          <w:b/>
          <w:sz w:val="28"/>
          <w:szCs w:val="28"/>
        </w:rPr>
        <w:t>Přijaté úvěry, půjčky, přechodné výpomoci</w:t>
      </w:r>
    </w:p>
    <w:p w:rsidR="006C0483" w:rsidRDefault="006C0483" w:rsidP="006C0483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Ke krytí schodku rozpočtu byl v roce 2012 přijat úvěr na cyklostezku poskytnutý ČS, a.s. ve výši 4 338 310 Kč. Výše úvěru k</w:t>
      </w:r>
      <w:r w:rsidR="008810F7">
        <w:rPr>
          <w:sz w:val="28"/>
          <w:szCs w:val="28"/>
        </w:rPr>
        <w:t> </w:t>
      </w:r>
      <w:proofErr w:type="gramStart"/>
      <w:r w:rsidR="008810F7">
        <w:rPr>
          <w:sz w:val="28"/>
          <w:szCs w:val="28"/>
        </w:rPr>
        <w:t>31.12.2012</w:t>
      </w:r>
      <w:proofErr w:type="gramEnd"/>
      <w:r w:rsidR="008810F7">
        <w:rPr>
          <w:sz w:val="28"/>
          <w:szCs w:val="28"/>
        </w:rPr>
        <w:t xml:space="preserve"> : 4 338 310 Kč.</w:t>
      </w:r>
    </w:p>
    <w:p w:rsidR="008810F7" w:rsidRPr="000519F7" w:rsidRDefault="008810F7" w:rsidP="006C0483">
      <w:pPr>
        <w:pStyle w:val="Bezmezer"/>
        <w:tabs>
          <w:tab w:val="left" w:pos="426"/>
        </w:tabs>
        <w:rPr>
          <w:sz w:val="20"/>
          <w:szCs w:val="20"/>
        </w:rPr>
      </w:pPr>
    </w:p>
    <w:p w:rsidR="008810F7" w:rsidRPr="008810F7" w:rsidRDefault="008810F7" w:rsidP="008810F7">
      <w:pPr>
        <w:pStyle w:val="Bezmezer"/>
        <w:numPr>
          <w:ilvl w:val="0"/>
          <w:numId w:val="2"/>
        </w:numPr>
        <w:tabs>
          <w:tab w:val="left" w:pos="426"/>
        </w:tabs>
        <w:ind w:left="142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10F7">
        <w:rPr>
          <w:b/>
          <w:sz w:val="28"/>
          <w:szCs w:val="28"/>
        </w:rPr>
        <w:t>Poskytnuté nesplacené půjčky</w:t>
      </w:r>
    </w:p>
    <w:p w:rsidR="008810F7" w:rsidRDefault="008810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DSO </w:t>
      </w:r>
      <w:proofErr w:type="spellStart"/>
      <w:r>
        <w:rPr>
          <w:sz w:val="28"/>
          <w:szCs w:val="28"/>
        </w:rPr>
        <w:t>Lanškrounsko</w:t>
      </w:r>
      <w:proofErr w:type="spellEnd"/>
      <w:r>
        <w:rPr>
          <w:sz w:val="28"/>
          <w:szCs w:val="28"/>
        </w:rPr>
        <w:t xml:space="preserve"> neposkytlo v </w:t>
      </w:r>
      <w:proofErr w:type="gramStart"/>
      <w:r>
        <w:rPr>
          <w:sz w:val="28"/>
          <w:szCs w:val="28"/>
        </w:rPr>
        <w:t>r.2012</w:t>
      </w:r>
      <w:proofErr w:type="gramEnd"/>
      <w:r>
        <w:rPr>
          <w:sz w:val="28"/>
          <w:szCs w:val="28"/>
        </w:rPr>
        <w:t xml:space="preserve"> žádné půjčky.</w:t>
      </w:r>
    </w:p>
    <w:p w:rsidR="008810F7" w:rsidRPr="000519F7" w:rsidRDefault="008810F7" w:rsidP="008810F7">
      <w:pPr>
        <w:pStyle w:val="Bezmezer"/>
        <w:tabs>
          <w:tab w:val="left" w:pos="426"/>
        </w:tabs>
        <w:rPr>
          <w:sz w:val="20"/>
          <w:szCs w:val="20"/>
        </w:rPr>
      </w:pPr>
    </w:p>
    <w:p w:rsidR="008810F7" w:rsidRDefault="008810F7" w:rsidP="008810F7">
      <w:pPr>
        <w:pStyle w:val="Bezmezer"/>
        <w:numPr>
          <w:ilvl w:val="0"/>
          <w:numId w:val="2"/>
        </w:numPr>
        <w:tabs>
          <w:tab w:val="left" w:pos="426"/>
        </w:tabs>
        <w:ind w:left="142" w:hanging="142"/>
        <w:rPr>
          <w:b/>
          <w:sz w:val="28"/>
          <w:szCs w:val="28"/>
        </w:rPr>
      </w:pPr>
      <w:r w:rsidRPr="008810F7">
        <w:rPr>
          <w:b/>
          <w:sz w:val="28"/>
          <w:szCs w:val="28"/>
        </w:rPr>
        <w:t>Zůstatky</w:t>
      </w:r>
      <w:r>
        <w:rPr>
          <w:b/>
          <w:sz w:val="28"/>
          <w:szCs w:val="28"/>
        </w:rPr>
        <w:t xml:space="preserve"> </w:t>
      </w:r>
      <w:r w:rsidRPr="008810F7">
        <w:rPr>
          <w:b/>
          <w:sz w:val="28"/>
          <w:szCs w:val="28"/>
        </w:rPr>
        <w:t>účtů</w:t>
      </w:r>
      <w:r>
        <w:rPr>
          <w:b/>
          <w:sz w:val="28"/>
          <w:szCs w:val="28"/>
        </w:rPr>
        <w:t xml:space="preserve"> (231)</w:t>
      </w:r>
      <w:r w:rsidRPr="008810F7">
        <w:rPr>
          <w:b/>
          <w:sz w:val="28"/>
          <w:szCs w:val="28"/>
        </w:rPr>
        <w:t xml:space="preserve"> k </w:t>
      </w:r>
      <w:proofErr w:type="gramStart"/>
      <w:r w:rsidRPr="008810F7">
        <w:rPr>
          <w:b/>
          <w:sz w:val="28"/>
          <w:szCs w:val="28"/>
        </w:rPr>
        <w:t>31.12.2012</w:t>
      </w:r>
      <w:proofErr w:type="gramEnd"/>
      <w:r w:rsidRPr="008810F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1 411 359,15 Kč</w:t>
      </w:r>
    </w:p>
    <w:p w:rsidR="008810F7" w:rsidRDefault="008810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z toho: </w:t>
      </w:r>
      <w:proofErr w:type="spellStart"/>
      <w:r>
        <w:rPr>
          <w:sz w:val="28"/>
          <w:szCs w:val="28"/>
        </w:rPr>
        <w:t>zbu</w:t>
      </w:r>
      <w:proofErr w:type="spellEnd"/>
      <w:r>
        <w:rPr>
          <w:sz w:val="28"/>
          <w:szCs w:val="28"/>
        </w:rPr>
        <w:t xml:space="preserve"> GE Money  271 000,43 Kč</w:t>
      </w:r>
    </w:p>
    <w:p w:rsidR="008810F7" w:rsidRDefault="008810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spořící</w:t>
      </w:r>
      <w:proofErr w:type="gramEnd"/>
      <w:r>
        <w:rPr>
          <w:sz w:val="28"/>
          <w:szCs w:val="28"/>
        </w:rPr>
        <w:t xml:space="preserve"> účet GE Money 1 137 460,74 Kč</w:t>
      </w:r>
    </w:p>
    <w:p w:rsidR="008810F7" w:rsidRDefault="008810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dotační účet ČNB 340,09 Kč</w:t>
      </w:r>
    </w:p>
    <w:p w:rsidR="008810F7" w:rsidRDefault="008810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bú</w:t>
      </w:r>
      <w:proofErr w:type="spellEnd"/>
      <w:r>
        <w:rPr>
          <w:sz w:val="28"/>
          <w:szCs w:val="28"/>
        </w:rPr>
        <w:t xml:space="preserve"> k úvěru ČS 2 557,89 Kč</w:t>
      </w:r>
    </w:p>
    <w:p w:rsidR="008810F7" w:rsidRPr="000519F7" w:rsidRDefault="008810F7" w:rsidP="008810F7">
      <w:pPr>
        <w:pStyle w:val="Bezmezer"/>
        <w:tabs>
          <w:tab w:val="left" w:pos="426"/>
        </w:tabs>
        <w:rPr>
          <w:sz w:val="20"/>
          <w:szCs w:val="20"/>
        </w:rPr>
      </w:pPr>
    </w:p>
    <w:p w:rsidR="008810F7" w:rsidRPr="008810F7" w:rsidRDefault="008810F7" w:rsidP="008810F7">
      <w:pPr>
        <w:pStyle w:val="Bezmezer"/>
        <w:numPr>
          <w:ilvl w:val="0"/>
          <w:numId w:val="2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8810F7">
        <w:rPr>
          <w:b/>
          <w:sz w:val="28"/>
          <w:szCs w:val="28"/>
        </w:rPr>
        <w:t>Přezkoumání hospodaření obce</w:t>
      </w:r>
    </w:p>
    <w:p w:rsidR="008810F7" w:rsidRDefault="008810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Součástí závěrečného účtu za rok 2012 je zpráva o výsledku přezkoumání hospodaření, které se uskutečnilo ve dnech</w:t>
      </w:r>
      <w:r w:rsidR="00830641">
        <w:rPr>
          <w:sz w:val="28"/>
          <w:szCs w:val="28"/>
        </w:rPr>
        <w:t xml:space="preserve"> </w:t>
      </w:r>
      <w:proofErr w:type="gramStart"/>
      <w:r w:rsidR="00830641">
        <w:rPr>
          <w:sz w:val="28"/>
          <w:szCs w:val="28"/>
        </w:rPr>
        <w:t>29.11.2012</w:t>
      </w:r>
      <w:proofErr w:type="gramEnd"/>
      <w:r w:rsidR="00830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 w:rsidR="00830641">
        <w:rPr>
          <w:sz w:val="28"/>
          <w:szCs w:val="28"/>
        </w:rPr>
        <w:t xml:space="preserve">4.4.2013. </w:t>
      </w:r>
      <w:r>
        <w:rPr>
          <w:sz w:val="28"/>
          <w:szCs w:val="28"/>
        </w:rPr>
        <w:t>Přezkoumání vykonali kontroloři Krajského úřadu Pardubického kraje s výrokem:</w:t>
      </w:r>
      <w:r w:rsidR="00830641">
        <w:rPr>
          <w:sz w:val="28"/>
          <w:szCs w:val="28"/>
        </w:rPr>
        <w:t xml:space="preserve">   nebyly zjištěny chyby a nedostatky (</w:t>
      </w:r>
      <w:r w:rsidR="00830641" w:rsidRPr="00835F30">
        <w:rPr>
          <w:rFonts w:ascii="Albertus Extra Bold" w:hAnsi="Albertus Extra Bold"/>
          <w:sz w:val="24"/>
          <w:szCs w:val="24"/>
        </w:rPr>
        <w:t>§</w:t>
      </w:r>
      <w:r w:rsidR="00830641">
        <w:rPr>
          <w:rFonts w:ascii="Albertus Extra Bold" w:hAnsi="Albertus Extra Bold"/>
          <w:sz w:val="24"/>
          <w:szCs w:val="24"/>
        </w:rPr>
        <w:t xml:space="preserve">10 odst.3 </w:t>
      </w:r>
      <w:proofErr w:type="spellStart"/>
      <w:proofErr w:type="gramStart"/>
      <w:r w:rsidR="00830641">
        <w:rPr>
          <w:rFonts w:ascii="Albertus Extra Bold" w:hAnsi="Albertus Extra Bold"/>
          <w:sz w:val="24"/>
          <w:szCs w:val="24"/>
        </w:rPr>
        <w:t>písm.a</w:t>
      </w:r>
      <w:proofErr w:type="spellEnd"/>
      <w:r w:rsidR="00830641">
        <w:rPr>
          <w:rFonts w:ascii="Albertus Extra Bold" w:hAnsi="Albertus Extra Bold"/>
          <w:sz w:val="24"/>
          <w:szCs w:val="24"/>
        </w:rPr>
        <w:t>) zákona</w:t>
      </w:r>
      <w:proofErr w:type="gramEnd"/>
      <w:r w:rsidR="00830641">
        <w:rPr>
          <w:rFonts w:ascii="Albertus Extra Bold" w:hAnsi="Albertus Extra Bold"/>
          <w:sz w:val="24"/>
          <w:szCs w:val="24"/>
        </w:rPr>
        <w:t xml:space="preserve"> č. 420/2004 </w:t>
      </w:r>
      <w:proofErr w:type="spellStart"/>
      <w:r w:rsidR="00830641">
        <w:rPr>
          <w:rFonts w:ascii="Albertus Extra Bold" w:hAnsi="Albertus Extra Bold"/>
          <w:sz w:val="24"/>
          <w:szCs w:val="24"/>
        </w:rPr>
        <w:t>Sb</w:t>
      </w:r>
      <w:proofErr w:type="spellEnd"/>
      <w:r w:rsidR="00830641">
        <w:rPr>
          <w:rFonts w:ascii="Albertus Extra Bold" w:hAnsi="Albertus Extra Bold"/>
          <w:sz w:val="24"/>
          <w:szCs w:val="24"/>
        </w:rPr>
        <w:t>)</w:t>
      </w:r>
      <w:r>
        <w:rPr>
          <w:sz w:val="28"/>
          <w:szCs w:val="28"/>
        </w:rPr>
        <w:t xml:space="preserve">      </w:t>
      </w:r>
    </w:p>
    <w:p w:rsidR="008810F7" w:rsidRDefault="008810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Plné znění zprávy o provedeném přezkoumání hospodaření obce za rok 2012 je přílohou k závěrečnému účtu.</w:t>
      </w:r>
    </w:p>
    <w:p w:rsidR="008810F7" w:rsidRPr="000519F7" w:rsidRDefault="008810F7" w:rsidP="008810F7">
      <w:pPr>
        <w:pStyle w:val="Bezmezer"/>
        <w:tabs>
          <w:tab w:val="left" w:pos="426"/>
        </w:tabs>
        <w:rPr>
          <w:sz w:val="20"/>
          <w:szCs w:val="20"/>
        </w:rPr>
      </w:pPr>
    </w:p>
    <w:p w:rsidR="008810F7" w:rsidRPr="008810F7" w:rsidRDefault="008810F7" w:rsidP="008810F7">
      <w:pPr>
        <w:pStyle w:val="Bezmezer"/>
        <w:numPr>
          <w:ilvl w:val="0"/>
          <w:numId w:val="2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8810F7">
        <w:rPr>
          <w:b/>
          <w:sz w:val="28"/>
          <w:szCs w:val="28"/>
        </w:rPr>
        <w:t>Závěr</w:t>
      </w:r>
    </w:p>
    <w:p w:rsidR="008810F7" w:rsidRDefault="000519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Lze konstatovat, že DSO v roce 2012 hospodařil v souladu se schváleným rozpočtem a rozpočtovými změnami, schválenými Shromážděním starostů. Lze vyjádřit souhlas s celoročním hospodařením, a to bez výhrad.</w:t>
      </w:r>
    </w:p>
    <w:p w:rsidR="000519F7" w:rsidRPr="000519F7" w:rsidRDefault="000519F7" w:rsidP="008810F7">
      <w:pPr>
        <w:pStyle w:val="Bezmezer"/>
        <w:tabs>
          <w:tab w:val="left" w:pos="426"/>
        </w:tabs>
        <w:rPr>
          <w:sz w:val="20"/>
          <w:szCs w:val="20"/>
        </w:rPr>
      </w:pPr>
    </w:p>
    <w:p w:rsidR="000519F7" w:rsidRDefault="000519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Hospodaření sdružení je podrobně uvedeno ve výkazu FIN 2-12M, rozvaze, ve výkazu zisku a ztrát a v přílohách účetní závěrky za rok 2012, které jsou k nahlédnutí na sídle firmy REDEA Žamberk, s.r.o.</w:t>
      </w:r>
    </w:p>
    <w:p w:rsidR="000519F7" w:rsidRDefault="000519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Připomínky k závěrečnému účtu obce mohou uplatnit občané písemně, ne</w:t>
      </w:r>
      <w:r w:rsidR="00B3693A">
        <w:rPr>
          <w:sz w:val="28"/>
          <w:szCs w:val="28"/>
        </w:rPr>
        <w:t>j</w:t>
      </w:r>
      <w:r>
        <w:rPr>
          <w:sz w:val="28"/>
          <w:szCs w:val="28"/>
        </w:rPr>
        <w:t xml:space="preserve">později do 15 dnů od vyvěšení této zprávy na úřední desce </w:t>
      </w:r>
      <w:r w:rsidR="00B3693A">
        <w:rPr>
          <w:sz w:val="28"/>
          <w:szCs w:val="28"/>
        </w:rPr>
        <w:t>ú</w:t>
      </w:r>
      <w:r>
        <w:rPr>
          <w:sz w:val="28"/>
          <w:szCs w:val="28"/>
        </w:rPr>
        <w:t>řadů</w:t>
      </w:r>
      <w:r w:rsidR="00B3693A">
        <w:rPr>
          <w:sz w:val="28"/>
          <w:szCs w:val="28"/>
        </w:rPr>
        <w:t xml:space="preserve"> členských obcí a </w:t>
      </w:r>
      <w:proofErr w:type="gramStart"/>
      <w:r w:rsidR="00B3693A">
        <w:rPr>
          <w:sz w:val="28"/>
          <w:szCs w:val="28"/>
        </w:rPr>
        <w:t xml:space="preserve">měst </w:t>
      </w:r>
      <w:r>
        <w:rPr>
          <w:sz w:val="28"/>
          <w:szCs w:val="28"/>
        </w:rPr>
        <w:t xml:space="preserve"> nebo</w:t>
      </w:r>
      <w:proofErr w:type="gramEnd"/>
      <w:r>
        <w:rPr>
          <w:sz w:val="28"/>
          <w:szCs w:val="28"/>
        </w:rPr>
        <w:t xml:space="preserve"> ústně na nejbližším jednání  Shromáždění st</w:t>
      </w:r>
      <w:r w:rsidR="00B3693A">
        <w:rPr>
          <w:sz w:val="28"/>
          <w:szCs w:val="28"/>
        </w:rPr>
        <w:t>a</w:t>
      </w:r>
      <w:r>
        <w:rPr>
          <w:sz w:val="28"/>
          <w:szCs w:val="28"/>
        </w:rPr>
        <w:t>rostů.</w:t>
      </w:r>
    </w:p>
    <w:p w:rsidR="000519F7" w:rsidRPr="006A53B4" w:rsidRDefault="000519F7" w:rsidP="008810F7">
      <w:pPr>
        <w:pStyle w:val="Bezmezer"/>
        <w:tabs>
          <w:tab w:val="left" w:pos="426"/>
        </w:tabs>
        <w:rPr>
          <w:sz w:val="16"/>
          <w:szCs w:val="16"/>
        </w:rPr>
      </w:pPr>
    </w:p>
    <w:p w:rsidR="000519F7" w:rsidRDefault="000519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Žamberku</w:t>
      </w:r>
      <w:proofErr w:type="spellEnd"/>
      <w:r>
        <w:rPr>
          <w:sz w:val="28"/>
          <w:szCs w:val="28"/>
        </w:rPr>
        <w:t xml:space="preserve"> dne </w:t>
      </w:r>
      <w:r w:rsidR="00B3693A">
        <w:rPr>
          <w:sz w:val="28"/>
          <w:szCs w:val="28"/>
        </w:rPr>
        <w:t xml:space="preserve"> 5.6.2013</w:t>
      </w:r>
    </w:p>
    <w:p w:rsidR="000519F7" w:rsidRDefault="000519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Vypracovala: Simona Dudková</w:t>
      </w:r>
    </w:p>
    <w:p w:rsidR="000519F7" w:rsidRDefault="000519F7" w:rsidP="008810F7">
      <w:pPr>
        <w:pStyle w:val="Bezmezer"/>
        <w:tabs>
          <w:tab w:val="left" w:pos="426"/>
        </w:tabs>
        <w:rPr>
          <w:sz w:val="28"/>
          <w:szCs w:val="28"/>
        </w:rPr>
      </w:pPr>
    </w:p>
    <w:p w:rsidR="000519F7" w:rsidRDefault="000519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30641">
        <w:rPr>
          <w:sz w:val="28"/>
          <w:szCs w:val="28"/>
        </w:rPr>
        <w:t>Vyvěšeno:</w:t>
      </w:r>
      <w:r>
        <w:rPr>
          <w:sz w:val="28"/>
          <w:szCs w:val="28"/>
        </w:rPr>
        <w:t xml:space="preserve">                                                                                  …</w:t>
      </w:r>
      <w:proofErr w:type="gramEnd"/>
      <w:r>
        <w:rPr>
          <w:sz w:val="28"/>
          <w:szCs w:val="28"/>
        </w:rPr>
        <w:t>……………………………………………………..</w:t>
      </w:r>
    </w:p>
    <w:p w:rsidR="000519F7" w:rsidRDefault="000519F7" w:rsidP="008810F7">
      <w:pPr>
        <w:pStyle w:val="Bezmezer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3064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Mgr. Stanislava Švarcová  </w:t>
      </w:r>
    </w:p>
    <w:p w:rsidR="006C0483" w:rsidRPr="006C0483" w:rsidRDefault="000519F7" w:rsidP="00065FAA">
      <w:pPr>
        <w:pStyle w:val="Bezmezer"/>
        <w:tabs>
          <w:tab w:val="left" w:pos="42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Sejmuto:                                                                        </w:t>
      </w:r>
      <w:r w:rsidR="008306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předsedkyně</w:t>
      </w:r>
      <w:proofErr w:type="gramEnd"/>
      <w:r>
        <w:rPr>
          <w:sz w:val="28"/>
          <w:szCs w:val="28"/>
        </w:rPr>
        <w:t xml:space="preserve"> svazku</w:t>
      </w:r>
    </w:p>
    <w:sectPr w:rsidR="006C0483" w:rsidRPr="006C0483" w:rsidSect="000519F7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DEE"/>
    <w:multiLevelType w:val="hybridMultilevel"/>
    <w:tmpl w:val="B0A40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706F"/>
    <w:multiLevelType w:val="hybridMultilevel"/>
    <w:tmpl w:val="D4F65FB8"/>
    <w:lvl w:ilvl="0" w:tplc="807C97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B3324"/>
    <w:multiLevelType w:val="hybridMultilevel"/>
    <w:tmpl w:val="62A6E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8723A"/>
    <w:rsid w:val="000519F7"/>
    <w:rsid w:val="00065FAA"/>
    <w:rsid w:val="001E7392"/>
    <w:rsid w:val="00294C6B"/>
    <w:rsid w:val="004875B5"/>
    <w:rsid w:val="0049468D"/>
    <w:rsid w:val="004A09DB"/>
    <w:rsid w:val="005C5BFA"/>
    <w:rsid w:val="006A53B4"/>
    <w:rsid w:val="006C0483"/>
    <w:rsid w:val="006D1379"/>
    <w:rsid w:val="006F232A"/>
    <w:rsid w:val="007359A8"/>
    <w:rsid w:val="00763A9F"/>
    <w:rsid w:val="00807F3B"/>
    <w:rsid w:val="00830641"/>
    <w:rsid w:val="00835F30"/>
    <w:rsid w:val="008810F7"/>
    <w:rsid w:val="008B595D"/>
    <w:rsid w:val="008C4D5B"/>
    <w:rsid w:val="00A509FA"/>
    <w:rsid w:val="00A83C84"/>
    <w:rsid w:val="00AA0682"/>
    <w:rsid w:val="00AF2A47"/>
    <w:rsid w:val="00B3693A"/>
    <w:rsid w:val="00BA5388"/>
    <w:rsid w:val="00D145D9"/>
    <w:rsid w:val="00D53B09"/>
    <w:rsid w:val="00D93471"/>
    <w:rsid w:val="00F8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23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35F30"/>
    <w:pPr>
      <w:spacing w:after="0" w:line="240" w:lineRule="auto"/>
    </w:pPr>
  </w:style>
  <w:style w:type="table" w:styleId="Mkatabulky">
    <w:name w:val="Table Grid"/>
    <w:basedOn w:val="Normlntabulka"/>
    <w:uiPriority w:val="59"/>
    <w:rsid w:val="00BA5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2013-06-05T11:26:00Z</cp:lastPrinted>
  <dcterms:created xsi:type="dcterms:W3CDTF">2013-05-20T10:29:00Z</dcterms:created>
  <dcterms:modified xsi:type="dcterms:W3CDTF">2013-06-05T11:28:00Z</dcterms:modified>
</cp:coreProperties>
</file>